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AE" w:rsidRDefault="006B6DAE" w:rsidP="00AF7567">
      <w:pPr>
        <w:ind w:left="360"/>
        <w:jc w:val="both"/>
        <w:rPr>
          <w:sz w:val="24"/>
          <w:szCs w:val="24"/>
        </w:rPr>
      </w:pPr>
    </w:p>
    <w:p w:rsidR="00AF7567" w:rsidRPr="006B6DAE" w:rsidRDefault="00AF7567" w:rsidP="00AF7567">
      <w:pPr>
        <w:ind w:left="360"/>
        <w:jc w:val="both"/>
        <w:rPr>
          <w:b/>
          <w:sz w:val="24"/>
          <w:szCs w:val="24"/>
        </w:rPr>
      </w:pPr>
      <w:r w:rsidRPr="006B6DAE">
        <w:rPr>
          <w:b/>
          <w:sz w:val="24"/>
          <w:szCs w:val="24"/>
        </w:rPr>
        <w:t>Codul Fiscal</w:t>
      </w:r>
    </w:p>
    <w:p w:rsidR="00AF7567" w:rsidRPr="006B6DAE" w:rsidRDefault="00AF7567" w:rsidP="00AF7567">
      <w:pPr>
        <w:ind w:left="360"/>
        <w:jc w:val="both"/>
        <w:rPr>
          <w:b/>
          <w:sz w:val="24"/>
          <w:szCs w:val="24"/>
        </w:rPr>
      </w:pPr>
      <w:r w:rsidRPr="006B6DAE">
        <w:rPr>
          <w:b/>
          <w:sz w:val="24"/>
          <w:szCs w:val="24"/>
        </w:rPr>
        <w:t>SECȚIUNEA a 6-a - Produse energetice</w:t>
      </w:r>
    </w:p>
    <w:p w:rsid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355 - Produse energetice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(1) În înțelesul prezentului capitol, produsele energetice sunt: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a) produsele cu codurile NC de la 1507 la 1518, dacă acestea sunt destinate utilizării drept combustibil pentru încălzire sau combustibil pentru motor;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b) produsele cu codurile NC 2701, 2702 și de la 2704 la 2715;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c) produsele cu codurile NC 2901 și 2902;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d) produsele cu codul NC 2905 11 00, care nu sunt de origine sintetică, dacă acestea sunt destinate utilizării drept combustibil pentru încălzire sau combustibil pentru motor;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e) produsele cu codul NC 3403;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f) produsele cu codul NC 3811;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g) produsele cu codul NC 3817;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h) produsele cu codul NC 3824 90 99, dacă acestea sunt destinate utilizării drept combustibil pentru încălzire sau combustibil pentru motor. Norme metodologice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(2) Intră sub incidența prevederilor secțiunilor a 9-a și a 16-a doar următoarele produse energetice: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a) produsele cu codurile NC de la 1507 la 1518, dacă acestea sunt destinate utilizării drept combustibil pentru încălzire sau combustibil pentru motor;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b) produsele cu codurile NC 2707 10, 2707 20, 2707 30 și 2707 50;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c) produsele cu codurile NC de la 2710 11 la 2710 19 69. Pentru produsele cu codurile NC 2710 11 21, 2710 11 25 și 2710 19 29, prevederile secțiunii a 16-a se aplică numai circulației comerciale în vrac;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d) produsele cu codurile NC 2711, cu excepția 2711 11, 2711 21 și 2711 29;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e) produsele cu codul NC 2901 10;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f) produsele cu codurile NC 2902 20, 2902 30, 2902 41, 2902 42, 2902 43 și 2902 44;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g) produsele cu codul NC 2905 11 00, care nu sunt de origine sintetică, dacă acestea sunt destinate utilizării drept combustibil pentru încălzire sau combustibil pentru motor;</w:t>
      </w:r>
    </w:p>
    <w:p w:rsidR="00AF7567" w:rsidRP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h) produsele cu codul NC 3824 90 99, dacă acestea sunt destinate utilizării drept combustibil pentru încălzire sau combustibil pentru motor;</w:t>
      </w:r>
    </w:p>
    <w:p w:rsid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i) produsele cu codurile NC 3811 11 10, 3811 11 90, 3811 19 00 și 3811 90 00.</w:t>
      </w:r>
    </w:p>
    <w:p w:rsidR="00AF7567" w:rsidRPr="00AF7567" w:rsidRDefault="00AF7567" w:rsidP="00AF7567">
      <w:pPr>
        <w:jc w:val="both"/>
        <w:rPr>
          <w:sz w:val="24"/>
          <w:szCs w:val="24"/>
        </w:rPr>
      </w:pPr>
      <w:r w:rsidRPr="00AF7567">
        <w:rPr>
          <w:sz w:val="24"/>
          <w:szCs w:val="24"/>
        </w:rPr>
        <w:t>SECŢIUNEA 13: Excepţii de la regimul de accizare pentru produse energetice şi energie electrică</w:t>
      </w:r>
    </w:p>
    <w:p w:rsidR="006B6DAE" w:rsidRDefault="006B6DAE" w:rsidP="006B6DAE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 394: Excepţii</w:t>
      </w:r>
    </w:p>
    <w:p w:rsidR="006B6DAE" w:rsidRDefault="00AF7567" w:rsidP="006B6DAE">
      <w:pPr>
        <w:rPr>
          <w:b/>
          <w:sz w:val="24"/>
          <w:szCs w:val="24"/>
        </w:rPr>
      </w:pPr>
      <w:r w:rsidRPr="00AF7567">
        <w:rPr>
          <w:sz w:val="24"/>
          <w:szCs w:val="24"/>
        </w:rPr>
        <w:t>(1) Nu se aplică regimul de accizare pentru:</w:t>
      </w:r>
    </w:p>
    <w:p w:rsidR="00AF7567" w:rsidRPr="006B6DAE" w:rsidRDefault="00AF7567" w:rsidP="006B6DAE">
      <w:pPr>
        <w:spacing w:after="0"/>
        <w:rPr>
          <w:b/>
          <w:sz w:val="24"/>
          <w:szCs w:val="24"/>
        </w:rPr>
      </w:pPr>
      <w:r w:rsidRPr="00AF7567">
        <w:rPr>
          <w:sz w:val="24"/>
          <w:szCs w:val="24"/>
        </w:rPr>
        <w:t>1.produsele cu codurile NC 4401 şi 4402 şi căldura rezultată în aval utilizând aceste produse;</w:t>
      </w:r>
    </w:p>
    <w:p w:rsidR="00AF7567" w:rsidRPr="00AF7567" w:rsidRDefault="00AF7567" w:rsidP="006B6DAE">
      <w:pPr>
        <w:spacing w:after="0" w:line="240" w:lineRule="auto"/>
        <w:rPr>
          <w:sz w:val="24"/>
          <w:szCs w:val="24"/>
        </w:rPr>
      </w:pPr>
      <w:r w:rsidRPr="00AF7567">
        <w:rPr>
          <w:sz w:val="24"/>
          <w:szCs w:val="24"/>
        </w:rPr>
        <w:t>2.următoarele utilizări de produse energetice şi energie electrică:</w:t>
      </w:r>
    </w:p>
    <w:p w:rsidR="00AF7567" w:rsidRPr="00AF7567" w:rsidRDefault="00AF7567" w:rsidP="006B6DAE">
      <w:pPr>
        <w:spacing w:after="0" w:line="240" w:lineRule="auto"/>
        <w:rPr>
          <w:sz w:val="24"/>
          <w:szCs w:val="24"/>
        </w:rPr>
      </w:pPr>
      <w:r w:rsidRPr="00AF7567">
        <w:rPr>
          <w:sz w:val="24"/>
          <w:szCs w:val="24"/>
        </w:rPr>
        <w:t>a)produsele  energetice  utilizate  în  alte  scopuri  decât  în  calitate  de  c</w:t>
      </w:r>
      <w:r>
        <w:rPr>
          <w:sz w:val="24"/>
          <w:szCs w:val="24"/>
        </w:rPr>
        <w:t xml:space="preserve">ombustibil  pentru  motor  sau </w:t>
      </w:r>
      <w:r w:rsidRPr="00AF7567">
        <w:rPr>
          <w:sz w:val="24"/>
          <w:szCs w:val="24"/>
        </w:rPr>
        <w:t>combustibil pentru încălzire;</w:t>
      </w:r>
    </w:p>
    <w:p w:rsidR="00AF7567" w:rsidRDefault="00AF7567" w:rsidP="00AF7567">
      <w:pPr>
        <w:spacing w:after="0" w:line="240" w:lineRule="auto"/>
        <w:rPr>
          <w:sz w:val="24"/>
          <w:szCs w:val="24"/>
        </w:rPr>
      </w:pPr>
      <w:r w:rsidRPr="00AF7567">
        <w:rPr>
          <w:sz w:val="24"/>
          <w:szCs w:val="24"/>
        </w:rPr>
        <w:t>b)utilizarea duală a produselor energetice. Un produs energetic este utilizat</w:t>
      </w:r>
      <w:r>
        <w:rPr>
          <w:sz w:val="24"/>
          <w:szCs w:val="24"/>
        </w:rPr>
        <w:t xml:space="preserve"> dual atunci când este folosit </w:t>
      </w:r>
      <w:r w:rsidRPr="00AF7567">
        <w:rPr>
          <w:sz w:val="24"/>
          <w:szCs w:val="24"/>
        </w:rPr>
        <w:t>atât  în  calitate  de  combustibil  pentru  încălzire,  cât  şi  în  alte  scopuri  dec</w:t>
      </w:r>
      <w:r>
        <w:rPr>
          <w:sz w:val="24"/>
          <w:szCs w:val="24"/>
        </w:rPr>
        <w:t xml:space="preserve">ât  </w:t>
      </w:r>
    </w:p>
    <w:p w:rsidR="00AF7567" w:rsidRDefault="00AF7567" w:rsidP="00AF7567">
      <w:pPr>
        <w:spacing w:after="0" w:line="240" w:lineRule="auto"/>
        <w:rPr>
          <w:sz w:val="24"/>
          <w:szCs w:val="24"/>
        </w:rPr>
      </w:pPr>
    </w:p>
    <w:p w:rsidR="00AF7567" w:rsidRDefault="00AF7567" w:rsidP="00AF7567">
      <w:pPr>
        <w:spacing w:after="0" w:line="240" w:lineRule="auto"/>
        <w:rPr>
          <w:sz w:val="24"/>
          <w:szCs w:val="24"/>
        </w:rPr>
      </w:pPr>
    </w:p>
    <w:p w:rsidR="00AF7567" w:rsidRDefault="00AF7567" w:rsidP="00AF7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pentru  motor  sau  pentru </w:t>
      </w:r>
      <w:r w:rsidRPr="00AF7567">
        <w:rPr>
          <w:sz w:val="24"/>
          <w:szCs w:val="24"/>
        </w:rPr>
        <w:t>încălzire.  Utilizarea  produselor  energetice  pentru  reducerea  chimică  şi  în</w:t>
      </w:r>
      <w:r>
        <w:rPr>
          <w:sz w:val="24"/>
          <w:szCs w:val="24"/>
        </w:rPr>
        <w:t xml:space="preserve">  pro cesele  electrolitic  şi </w:t>
      </w:r>
      <w:r w:rsidRPr="00AF7567">
        <w:rPr>
          <w:sz w:val="24"/>
          <w:szCs w:val="24"/>
        </w:rPr>
        <w:t xml:space="preserve">metalurgic se </w:t>
      </w:r>
      <w:r>
        <w:rPr>
          <w:sz w:val="24"/>
          <w:szCs w:val="24"/>
        </w:rPr>
        <w:t>consideră a fi utilizare duală;</w:t>
      </w:r>
    </w:p>
    <w:p w:rsidR="00AF7567" w:rsidRPr="00AF7567" w:rsidRDefault="00AF7567" w:rsidP="00AF7567">
      <w:pPr>
        <w:spacing w:after="0" w:line="240" w:lineRule="auto"/>
        <w:rPr>
          <w:sz w:val="24"/>
          <w:szCs w:val="24"/>
        </w:rPr>
      </w:pPr>
      <w:r w:rsidRPr="00AF7567">
        <w:rPr>
          <w:sz w:val="24"/>
          <w:szCs w:val="24"/>
        </w:rPr>
        <w:t>…</w:t>
      </w:r>
    </w:p>
    <w:p w:rsidR="00AF7567" w:rsidRPr="00AF7567" w:rsidRDefault="00AF7567" w:rsidP="00AF7567">
      <w:pPr>
        <w:spacing w:after="0" w:line="240" w:lineRule="auto"/>
        <w:rPr>
          <w:sz w:val="24"/>
          <w:szCs w:val="24"/>
        </w:rPr>
      </w:pPr>
      <w:r w:rsidRPr="00AF7567">
        <w:rPr>
          <w:sz w:val="24"/>
          <w:szCs w:val="24"/>
        </w:rPr>
        <w:t>e)procesele mineralogice</w:t>
      </w:r>
    </w:p>
    <w:p w:rsidR="00AF7567" w:rsidRPr="00AF7567" w:rsidRDefault="00AF7567" w:rsidP="00AF7567">
      <w:pPr>
        <w:spacing w:after="0" w:line="240" w:lineRule="auto"/>
        <w:rPr>
          <w:sz w:val="24"/>
          <w:szCs w:val="24"/>
        </w:rPr>
      </w:pPr>
      <w:r w:rsidRPr="00AF7567">
        <w:rPr>
          <w:sz w:val="24"/>
          <w:szCs w:val="24"/>
        </w:rPr>
        <w:t>…..</w:t>
      </w:r>
    </w:p>
    <w:p w:rsidR="006B6DAE" w:rsidRDefault="00AF7567" w:rsidP="006B6DAE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 xml:space="preserve">(5) Modalitatea si conditiile de aplicare a alin. </w:t>
      </w:r>
      <w:r>
        <w:rPr>
          <w:sz w:val="24"/>
          <w:szCs w:val="24"/>
        </w:rPr>
        <w:t xml:space="preserve">(1) se reglementeaza prin norme </w:t>
      </w:r>
      <w:r w:rsidRPr="00AF7567">
        <w:rPr>
          <w:sz w:val="24"/>
          <w:szCs w:val="24"/>
        </w:rPr>
        <w:t>metodologice.</w:t>
      </w:r>
    </w:p>
    <w:p w:rsidR="006B6DAE" w:rsidRDefault="006B6DAE" w:rsidP="006B6DAE">
      <w:pPr>
        <w:spacing w:after="0" w:line="240" w:lineRule="auto"/>
        <w:jc w:val="both"/>
        <w:rPr>
          <w:sz w:val="24"/>
          <w:szCs w:val="24"/>
        </w:rPr>
      </w:pPr>
    </w:p>
    <w:p w:rsidR="00AF7567" w:rsidRDefault="006B6DAE" w:rsidP="006B6DAE">
      <w:pPr>
        <w:ind w:firstLine="708"/>
        <w:jc w:val="both"/>
        <w:rPr>
          <w:sz w:val="24"/>
          <w:szCs w:val="24"/>
        </w:rPr>
      </w:pPr>
      <w:r w:rsidRPr="006B6DAE">
        <w:rPr>
          <w:sz w:val="24"/>
          <w:szCs w:val="24"/>
        </w:rPr>
        <w:t>2.  Normele metodologie de aplicare a Codului Fiscal aprobate prin Hotararea de Guvern nr. 1/2016 cu modificarile si completarile ulterioare</w:t>
      </w:r>
    </w:p>
    <w:p w:rsidR="00AF7567" w:rsidRPr="00AF7567" w:rsidRDefault="00AF7567" w:rsidP="00AF7567">
      <w:pPr>
        <w:jc w:val="both"/>
        <w:rPr>
          <w:b/>
          <w:sz w:val="24"/>
          <w:szCs w:val="24"/>
        </w:rPr>
      </w:pPr>
      <w:r w:rsidRPr="00AF7567">
        <w:rPr>
          <w:b/>
          <w:sz w:val="24"/>
          <w:szCs w:val="24"/>
        </w:rPr>
        <w:t>SECTIUNEA 13  Excepţii de la regimul de accizare pentru produse energetice şi energie electrică</w:t>
      </w:r>
    </w:p>
    <w:p w:rsidR="006B6DAE" w:rsidRDefault="006B6DAE" w:rsidP="006B6D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59. _</w:t>
      </w:r>
    </w:p>
    <w:p w:rsidR="00AF7567" w:rsidRPr="00AF7567" w:rsidRDefault="00AF7567" w:rsidP="006B6DAE">
      <w:pPr>
        <w:spacing w:after="0" w:line="240" w:lineRule="auto"/>
        <w:jc w:val="both"/>
        <w:rPr>
          <w:sz w:val="24"/>
          <w:szCs w:val="24"/>
        </w:rPr>
      </w:pPr>
      <w:r w:rsidRPr="00AF7567">
        <w:rPr>
          <w:sz w:val="24"/>
          <w:szCs w:val="24"/>
        </w:rPr>
        <w:t>(1) În sensul art. 394 alin. (1) din Codul fiscal, nu se datorează acci</w:t>
      </w:r>
      <w:r>
        <w:rPr>
          <w:sz w:val="24"/>
          <w:szCs w:val="24"/>
        </w:rPr>
        <w:t xml:space="preserve">ze pentru produsele energetice </w:t>
      </w:r>
      <w:r w:rsidRPr="00AF7567">
        <w:rPr>
          <w:sz w:val="24"/>
          <w:szCs w:val="24"/>
        </w:rPr>
        <w:t>prevăzute la art. 355 alin. (1) din Codul fiscal şi care nu se regăsesc la art. 3</w:t>
      </w:r>
      <w:r>
        <w:rPr>
          <w:sz w:val="24"/>
          <w:szCs w:val="24"/>
        </w:rPr>
        <w:t xml:space="preserve">55 alin. (2) din Codul fiscal, </w:t>
      </w:r>
      <w:r w:rsidRPr="00AF7567">
        <w:rPr>
          <w:sz w:val="24"/>
          <w:szCs w:val="24"/>
        </w:rPr>
        <w:t>atunci când sunt livrate operatorilor economici care declară pe propria răspundere că utilizează pr</w:t>
      </w:r>
      <w:r>
        <w:rPr>
          <w:sz w:val="24"/>
          <w:szCs w:val="24"/>
        </w:rPr>
        <w:t xml:space="preserve">odusele </w:t>
      </w:r>
      <w:r w:rsidRPr="00AF7567">
        <w:rPr>
          <w:sz w:val="24"/>
          <w:szCs w:val="24"/>
        </w:rPr>
        <w:t>respective în unul dintre scopurile prevăzute la art. 394 alin. (1) pct. 2 lit. a), b) şi e) din Codul fiscal.</w:t>
      </w:r>
    </w:p>
    <w:p w:rsidR="00AF7567" w:rsidRPr="00AF7567" w:rsidRDefault="00AF7567" w:rsidP="006B6DAE">
      <w:pPr>
        <w:jc w:val="both"/>
        <w:rPr>
          <w:sz w:val="24"/>
          <w:szCs w:val="24"/>
        </w:rPr>
      </w:pPr>
      <w:r w:rsidRPr="00AF7567">
        <w:rPr>
          <w:sz w:val="24"/>
          <w:szCs w:val="24"/>
        </w:rPr>
        <w:t xml:space="preserve">(2) Pentru cărbunele, cocsul şi gazul natural prevăzute la art. 355 alin. </w:t>
      </w:r>
      <w:r>
        <w:rPr>
          <w:sz w:val="24"/>
          <w:szCs w:val="24"/>
        </w:rPr>
        <w:t xml:space="preserve">(3) din Codul fiscal se aplică </w:t>
      </w:r>
      <w:r w:rsidRPr="00AF7567">
        <w:rPr>
          <w:sz w:val="24"/>
          <w:szCs w:val="24"/>
        </w:rPr>
        <w:t>prevederile pct. 72.</w:t>
      </w:r>
    </w:p>
    <w:p w:rsidR="00AF7567" w:rsidRPr="00AF7567" w:rsidRDefault="00AF7567" w:rsidP="006B6DAE">
      <w:pPr>
        <w:jc w:val="both"/>
        <w:rPr>
          <w:sz w:val="24"/>
          <w:szCs w:val="24"/>
        </w:rPr>
      </w:pPr>
      <w:r w:rsidRPr="00AF7567">
        <w:rPr>
          <w:sz w:val="24"/>
          <w:szCs w:val="24"/>
        </w:rPr>
        <w:t>(3) În aplicarea alin. (1), înainte de fiecare livrare a produselor energetice</w:t>
      </w:r>
      <w:r w:rsidR="006B6DAE">
        <w:rPr>
          <w:sz w:val="24"/>
          <w:szCs w:val="24"/>
        </w:rPr>
        <w:t xml:space="preserve"> cumpărătorul are obligaţia să </w:t>
      </w:r>
      <w:r w:rsidRPr="00AF7567">
        <w:rPr>
          <w:sz w:val="24"/>
          <w:szCs w:val="24"/>
        </w:rPr>
        <w:t>transmită furnizorului de produse energetice din România o declaraţie pe</w:t>
      </w:r>
      <w:r w:rsidR="006B6DAE">
        <w:rPr>
          <w:sz w:val="24"/>
          <w:szCs w:val="24"/>
        </w:rPr>
        <w:t xml:space="preserve"> propria răspunder e, potrivit </w:t>
      </w:r>
      <w:r w:rsidRPr="00AF7567">
        <w:rPr>
          <w:sz w:val="24"/>
          <w:szCs w:val="24"/>
        </w:rPr>
        <w:t>modelului prevăzut în anexa nr. 22, care face parte integrantă din prezentele norme metodologice.</w:t>
      </w:r>
      <w:bookmarkStart w:id="0" w:name="_GoBack"/>
      <w:bookmarkEnd w:id="0"/>
    </w:p>
    <w:p w:rsidR="00AF7567" w:rsidRPr="006B6DAE" w:rsidRDefault="00AF7567" w:rsidP="006B6DAE">
      <w:pPr>
        <w:jc w:val="both"/>
        <w:rPr>
          <w:b/>
          <w:sz w:val="24"/>
          <w:szCs w:val="24"/>
        </w:rPr>
      </w:pPr>
      <w:r w:rsidRPr="006B6DAE">
        <w:rPr>
          <w:b/>
          <w:sz w:val="24"/>
          <w:szCs w:val="24"/>
        </w:rPr>
        <w:t>SECŢIUNEA 18: Deplasarea produselor accizabile în regim de exceptare sau de scutire directă</w:t>
      </w:r>
    </w:p>
    <w:p w:rsidR="00AF7567" w:rsidRPr="00AF7567" w:rsidRDefault="00AF7567" w:rsidP="00AF7567">
      <w:pPr>
        <w:rPr>
          <w:sz w:val="24"/>
          <w:szCs w:val="24"/>
        </w:rPr>
      </w:pPr>
      <w:r w:rsidRPr="00AF7567">
        <w:rPr>
          <w:sz w:val="24"/>
          <w:szCs w:val="24"/>
        </w:rPr>
        <w:t>142._</w:t>
      </w:r>
    </w:p>
    <w:p w:rsidR="006B6DAE" w:rsidRDefault="00AF7567" w:rsidP="006B6DAE">
      <w:pPr>
        <w:jc w:val="both"/>
        <w:rPr>
          <w:sz w:val="24"/>
          <w:szCs w:val="24"/>
        </w:rPr>
      </w:pPr>
      <w:r w:rsidRPr="00AF7567">
        <w:rPr>
          <w:sz w:val="24"/>
          <w:szCs w:val="24"/>
        </w:rPr>
        <w:t>(4)În aplicarea prevederilor art. 420 din  Codul fiscal, deplasarea până la utilizator în regim de exceptare de la regimul de accizare, potrivit art. 394 din Codul fiscal, a produselor en</w:t>
      </w:r>
      <w:r w:rsidR="006B6DAE">
        <w:rPr>
          <w:sz w:val="24"/>
          <w:szCs w:val="24"/>
        </w:rPr>
        <w:t xml:space="preserve">ergetice prevăzute la art. 355 </w:t>
      </w:r>
      <w:r w:rsidRPr="00AF7567">
        <w:rPr>
          <w:sz w:val="24"/>
          <w:szCs w:val="24"/>
        </w:rPr>
        <w:t>alin. (1) din  Codul fiscal  care nu se regăsesc la alin. (2) de la acelaşi arti</w:t>
      </w:r>
      <w:r w:rsidR="006B6DAE">
        <w:rPr>
          <w:sz w:val="24"/>
          <w:szCs w:val="24"/>
        </w:rPr>
        <w:t xml:space="preserve">col este însoţită de o copie a </w:t>
      </w:r>
      <w:r w:rsidRPr="00AF7567">
        <w:rPr>
          <w:sz w:val="24"/>
          <w:szCs w:val="24"/>
        </w:rPr>
        <w:t>declaraţiei prevăzute la pct. 59 al</w:t>
      </w:r>
      <w:r w:rsidR="006B6DAE">
        <w:rPr>
          <w:sz w:val="24"/>
          <w:szCs w:val="24"/>
        </w:rPr>
        <w:t>in. (3).</w:t>
      </w:r>
    </w:p>
    <w:p w:rsidR="00AF7567" w:rsidRPr="00AF7567" w:rsidRDefault="00AF7567" w:rsidP="006B6DAE">
      <w:pPr>
        <w:jc w:val="both"/>
        <w:rPr>
          <w:sz w:val="24"/>
          <w:szCs w:val="24"/>
        </w:rPr>
      </w:pPr>
      <w:r w:rsidRPr="00AF7567">
        <w:rPr>
          <w:sz w:val="24"/>
          <w:szCs w:val="24"/>
        </w:rPr>
        <w:t>(5)La  sosirea  produselor  energetice,  deţinătorul  autorizaţiei  de  utilizator  fi</w:t>
      </w:r>
      <w:r w:rsidR="006B6DAE">
        <w:rPr>
          <w:sz w:val="24"/>
          <w:szCs w:val="24"/>
        </w:rPr>
        <w:t xml:space="preserve">nal  sau  operatorul  economic </w:t>
      </w:r>
      <w:r w:rsidRPr="00AF7567">
        <w:rPr>
          <w:sz w:val="24"/>
          <w:szCs w:val="24"/>
        </w:rPr>
        <w:t xml:space="preserve">utilizator, după caz, înştiinţează autoritatea vamală teritorială şi păstrează </w:t>
      </w:r>
      <w:r w:rsidR="006B6DAE">
        <w:rPr>
          <w:sz w:val="24"/>
          <w:szCs w:val="24"/>
        </w:rPr>
        <w:t xml:space="preserve">produsele în locul de recepţie </w:t>
      </w:r>
      <w:r w:rsidRPr="00AF7567">
        <w:rPr>
          <w:sz w:val="24"/>
          <w:szCs w:val="24"/>
        </w:rPr>
        <w:t>maximum 24 de ore, pentru o posibilă verificare din partea acestei autorităţi</w:t>
      </w:r>
      <w:r w:rsidR="006B6DAE">
        <w:rPr>
          <w:sz w:val="24"/>
          <w:szCs w:val="24"/>
        </w:rPr>
        <w:t xml:space="preserve">, în condiţiile prevăzute prin </w:t>
      </w:r>
      <w:r w:rsidRPr="00AF7567">
        <w:rPr>
          <w:sz w:val="24"/>
          <w:szCs w:val="24"/>
        </w:rPr>
        <w:t>ordin al preşedintelui Agenţiei Naţionale de Administrare Fiscală.</w:t>
      </w:r>
    </w:p>
    <w:sectPr w:rsidR="00AF7567" w:rsidRPr="00AF75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1F" w:rsidRDefault="007F671F" w:rsidP="00977FDF">
      <w:pPr>
        <w:spacing w:after="0" w:line="240" w:lineRule="auto"/>
      </w:pPr>
      <w:r>
        <w:separator/>
      </w:r>
    </w:p>
  </w:endnote>
  <w:endnote w:type="continuationSeparator" w:id="0">
    <w:p w:rsidR="007F671F" w:rsidRDefault="007F671F" w:rsidP="0097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1F" w:rsidRDefault="007F671F" w:rsidP="00977FDF">
      <w:pPr>
        <w:spacing w:after="0" w:line="240" w:lineRule="auto"/>
      </w:pPr>
      <w:r>
        <w:separator/>
      </w:r>
    </w:p>
  </w:footnote>
  <w:footnote w:type="continuationSeparator" w:id="0">
    <w:p w:rsidR="007F671F" w:rsidRDefault="007F671F" w:rsidP="0097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DF" w:rsidRPr="00977FDF" w:rsidRDefault="00AF7567">
    <w:pPr>
      <w:pStyle w:val="Header"/>
      <w:rPr>
        <w:b/>
        <w:lang w:val="en-US"/>
      </w:rPr>
    </w:pPr>
    <w:r>
      <w:rPr>
        <w:b/>
        <w:lang w:val="en-US"/>
      </w:rPr>
      <w:t>ANEXA 1</w:t>
    </w:r>
    <w:r w:rsidR="00977FDF" w:rsidRPr="00977FDF">
      <w:rPr>
        <w:b/>
        <w:lang w:val="en-US"/>
      </w:rPr>
      <w:t xml:space="preserve"> – </w:t>
    </w:r>
    <w:proofErr w:type="spellStart"/>
    <w:r>
      <w:rPr>
        <w:b/>
        <w:lang w:val="en-US"/>
      </w:rPr>
      <w:t>Prevederi</w:t>
    </w:r>
    <w:proofErr w:type="spellEnd"/>
    <w:r>
      <w:rPr>
        <w:b/>
        <w:lang w:val="en-US"/>
      </w:rPr>
      <w:t xml:space="preserve"> legislative </w:t>
    </w:r>
    <w:proofErr w:type="spellStart"/>
    <w:r>
      <w:rPr>
        <w:b/>
        <w:lang w:val="en-US"/>
      </w:rPr>
      <w:t>referitoare</w:t>
    </w:r>
    <w:proofErr w:type="spellEnd"/>
    <w:r>
      <w:rPr>
        <w:b/>
        <w:lang w:val="en-US"/>
      </w:rPr>
      <w:t xml:space="preserve"> la </w:t>
    </w:r>
    <w:proofErr w:type="spellStart"/>
    <w:r>
      <w:rPr>
        <w:b/>
        <w:lang w:val="en-US"/>
      </w:rPr>
      <w:t>declaratia</w:t>
    </w:r>
    <w:proofErr w:type="spellEnd"/>
    <w:r>
      <w:rPr>
        <w:b/>
        <w:lang w:val="en-US"/>
      </w:rPr>
      <w:t xml:space="preserve"> din </w:t>
    </w:r>
    <w:proofErr w:type="spellStart"/>
    <w:r>
      <w:rPr>
        <w:b/>
        <w:lang w:val="en-US"/>
      </w:rPr>
      <w:t>partea</w:t>
    </w:r>
    <w:proofErr w:type="spellEnd"/>
    <w:r>
      <w:rPr>
        <w:b/>
        <w:lang w:val="en-US"/>
      </w:rPr>
      <w:t xml:space="preserve"> </w:t>
    </w:r>
    <w:proofErr w:type="spellStart"/>
    <w:r>
      <w:rPr>
        <w:b/>
        <w:lang w:val="en-US"/>
      </w:rPr>
      <w:t>Cumparatorului</w:t>
    </w:r>
    <w:proofErr w:type="spellEnd"/>
    <w:r>
      <w:rPr>
        <w:b/>
        <w:lang w:val="en-US"/>
      </w:rPr>
      <w:t xml:space="preserve"> </w:t>
    </w:r>
    <w:proofErr w:type="spellStart"/>
    <w:r>
      <w:rPr>
        <w:b/>
        <w:lang w:val="en-US"/>
      </w:rPr>
      <w:t>privind</w:t>
    </w:r>
    <w:proofErr w:type="spellEnd"/>
    <w:r>
      <w:rPr>
        <w:b/>
        <w:lang w:val="en-US"/>
      </w:rPr>
      <w:t xml:space="preserve"> </w:t>
    </w:r>
    <w:proofErr w:type="spellStart"/>
    <w:r>
      <w:rPr>
        <w:b/>
        <w:lang w:val="en-US"/>
      </w:rPr>
      <w:t>folosirea</w:t>
    </w:r>
    <w:proofErr w:type="spellEnd"/>
    <w:r>
      <w:rPr>
        <w:b/>
        <w:lang w:val="en-US"/>
      </w:rPr>
      <w:t xml:space="preserve"> </w:t>
    </w:r>
    <w:proofErr w:type="spellStart"/>
    <w:r>
      <w:rPr>
        <w:b/>
        <w:lang w:val="en-US"/>
      </w:rPr>
      <w:t>produselor</w:t>
    </w:r>
    <w:proofErr w:type="spellEnd"/>
    <w:r>
      <w:rPr>
        <w:b/>
        <w:lang w:val="en-US"/>
      </w:rPr>
      <w:t xml:space="preserve"> </w:t>
    </w:r>
    <w:proofErr w:type="spellStart"/>
    <w:r>
      <w:rPr>
        <w:b/>
        <w:lang w:val="en-US"/>
      </w:rPr>
      <w:t>energetice</w:t>
    </w:r>
    <w:proofErr w:type="spellEnd"/>
    <w:r>
      <w:rPr>
        <w:b/>
        <w:lang w:val="en-US"/>
      </w:rPr>
      <w:t xml:space="preserve"> in </w:t>
    </w:r>
    <w:proofErr w:type="spellStart"/>
    <w:r>
      <w:rPr>
        <w:b/>
        <w:lang w:val="en-US"/>
      </w:rPr>
      <w:t>alte</w:t>
    </w:r>
    <w:proofErr w:type="spellEnd"/>
    <w:r>
      <w:rPr>
        <w:b/>
        <w:lang w:val="en-US"/>
      </w:rPr>
      <w:t xml:space="preserve"> </w:t>
    </w:r>
    <w:proofErr w:type="spellStart"/>
    <w:r>
      <w:rPr>
        <w:b/>
        <w:lang w:val="en-US"/>
      </w:rPr>
      <w:t>scopuri</w:t>
    </w:r>
    <w:proofErr w:type="spellEnd"/>
    <w:r>
      <w:rPr>
        <w:b/>
        <w:lang w:val="en-US"/>
      </w:rPr>
      <w:t xml:space="preserve"> </w:t>
    </w:r>
    <w:proofErr w:type="spellStart"/>
    <w:r>
      <w:rPr>
        <w:b/>
        <w:lang w:val="en-US"/>
      </w:rPr>
      <w:t>decat</w:t>
    </w:r>
    <w:proofErr w:type="spellEnd"/>
    <w:r>
      <w:rPr>
        <w:b/>
        <w:lang w:val="en-US"/>
      </w:rPr>
      <w:t xml:space="preserve"> </w:t>
    </w:r>
    <w:proofErr w:type="spellStart"/>
    <w:r>
      <w:rPr>
        <w:b/>
        <w:lang w:val="en-US"/>
      </w:rPr>
      <w:t>combustibil</w:t>
    </w:r>
    <w:proofErr w:type="spellEnd"/>
    <w:r>
      <w:rPr>
        <w:b/>
        <w:lang w:val="en-US"/>
      </w:rPr>
      <w:t xml:space="preserve"> </w:t>
    </w:r>
    <w:proofErr w:type="spellStart"/>
    <w:r>
      <w:rPr>
        <w:b/>
        <w:lang w:val="en-US"/>
      </w:rPr>
      <w:t>pentru</w:t>
    </w:r>
    <w:proofErr w:type="spellEnd"/>
    <w:r>
      <w:rPr>
        <w:b/>
        <w:lang w:val="en-US"/>
      </w:rPr>
      <w:t xml:space="preserve"> motor </w:t>
    </w:r>
    <w:proofErr w:type="spellStart"/>
    <w:r>
      <w:rPr>
        <w:b/>
        <w:lang w:val="en-US"/>
      </w:rPr>
      <w:t>sau</w:t>
    </w:r>
    <w:proofErr w:type="spellEnd"/>
    <w:r>
      <w:rPr>
        <w:b/>
        <w:lang w:val="en-US"/>
      </w:rPr>
      <w:t xml:space="preserve"> </w:t>
    </w:r>
    <w:proofErr w:type="spellStart"/>
    <w:r>
      <w:rPr>
        <w:b/>
        <w:lang w:val="en-US"/>
      </w:rPr>
      <w:t>combustibil</w:t>
    </w:r>
    <w:proofErr w:type="spellEnd"/>
    <w:r>
      <w:rPr>
        <w:b/>
        <w:lang w:val="en-US"/>
      </w:rPr>
      <w:t xml:space="preserve"> </w:t>
    </w:r>
    <w:proofErr w:type="spellStart"/>
    <w:proofErr w:type="gramStart"/>
    <w:r>
      <w:rPr>
        <w:b/>
        <w:lang w:val="en-US"/>
      </w:rPr>
      <w:t>pentru</w:t>
    </w:r>
    <w:proofErr w:type="spellEnd"/>
    <w:r>
      <w:rPr>
        <w:b/>
        <w:lang w:val="en-US"/>
      </w:rPr>
      <w:t xml:space="preserve">  </w:t>
    </w:r>
    <w:proofErr w:type="spellStart"/>
    <w:r>
      <w:rPr>
        <w:b/>
        <w:lang w:val="en-US"/>
      </w:rPr>
      <w:t>incalzire</w:t>
    </w:r>
    <w:proofErr w:type="spellEnd"/>
    <w:proofErr w:type="gramEnd"/>
    <w:r>
      <w:rPr>
        <w:b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6B"/>
    <w:rsid w:val="002D5D64"/>
    <w:rsid w:val="005B5537"/>
    <w:rsid w:val="006B6DAE"/>
    <w:rsid w:val="007F671F"/>
    <w:rsid w:val="00977FDF"/>
    <w:rsid w:val="00993E3C"/>
    <w:rsid w:val="00AF7567"/>
    <w:rsid w:val="00C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F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F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F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F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ramona.florea</dc:creator>
  <cp:lastModifiedBy>ramona.florea</cp:lastModifiedBy>
  <cp:revision>3</cp:revision>
  <dcterms:created xsi:type="dcterms:W3CDTF">2016-06-03T12:05:00Z</dcterms:created>
  <dcterms:modified xsi:type="dcterms:W3CDTF">2016-06-03T13:26:00Z</dcterms:modified>
</cp:coreProperties>
</file>